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BC6" w:rsidRDefault="00715BC6" w:rsidP="00607461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</w:p>
    <w:p w:rsidR="00607461" w:rsidRPr="00607461" w:rsidRDefault="00607461" w:rsidP="00607461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</w:t>
      </w: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846A5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ОБЩИ ИЗИСКВАНИЯ КЪМ ГОДИШНИЯ ДОКЛАД</w:t>
      </w:r>
      <w:r w:rsidR="00E95D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(ГД)</w:t>
      </w:r>
    </w:p>
    <w:p w:rsidR="00607461" w:rsidRPr="00607461" w:rsidRDefault="00607461" w:rsidP="00607461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46A51" w:rsidRDefault="00846A51" w:rsidP="00846A51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>Годишния</w:t>
      </w:r>
      <w:r w:rsidR="00715BC6">
        <w:rPr>
          <w:rFonts w:ascii="Times New Roman" w:eastAsia="Times New Roman" w:hAnsi="Times New Roman" w:cs="Times New Roman"/>
          <w:sz w:val="24"/>
          <w:szCs w:val="24"/>
          <w:lang w:eastAsia="pl-PL"/>
        </w:rPr>
        <w:t>т</w:t>
      </w:r>
      <w:r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Доклад 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за състояние на действието </w:t>
      </w:r>
      <w:r w:rsidRPr="00846A51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(</w:t>
      </w:r>
      <w:r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>ГД</w:t>
      </w:r>
      <w:r w:rsidRPr="00846A51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)</w:t>
      </w:r>
      <w:r w:rsidR="00607461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се</w:t>
      </w:r>
      <w:r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изготвя на английски език и се превежда на български 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>преди</w:t>
      </w:r>
      <w:r w:rsidR="00A90AA7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неговото одобрение за нуждите на </w:t>
      </w:r>
      <w:r w:rsidR="00E75315">
        <w:rPr>
          <w:rFonts w:ascii="Times New Roman" w:eastAsia="Times New Roman" w:hAnsi="Times New Roman" w:cs="Times New Roman"/>
          <w:sz w:val="24"/>
          <w:szCs w:val="24"/>
          <w:lang w:eastAsia="pl-PL"/>
        </w:rPr>
        <w:t>Контролиращия орган (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>КО</w:t>
      </w:r>
      <w:r w:rsidR="00E75315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846A51" w:rsidRDefault="00846A51" w:rsidP="00846A51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ГД се изготвя един път годишно в срок до 31 март на следващата </w:t>
      </w:r>
      <w:r w:rsidR="00D73A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отчетна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година. Изключение за първия ГД се прави само за първата година, когато договорът е подписан след трето тримесечие</w:t>
      </w:r>
      <w:r w:rsidR="00D73A2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E60B1" w:rsidRDefault="005E60B1" w:rsidP="00846A51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Отчетният период за ГД е </w:t>
      </w:r>
      <w:r w:rsidR="00E95D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календарната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година от 01.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01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до 31.12.</w:t>
      </w:r>
    </w:p>
    <w:p w:rsidR="00A67CC8" w:rsidRPr="00AB4EFD" w:rsidRDefault="00A67CC8" w:rsidP="00A67CC8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Докладът се качва електронно чрез сайта  </w:t>
      </w:r>
      <w:hyperlink r:id="rId8" w:history="1">
        <w:r w:rsidRPr="00DD6FFC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pl-PL"/>
          </w:rPr>
          <w:t>https://webgate.ec.europa.eu/tentec/grant/asreport/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или </w:t>
      </w:r>
      <w:hyperlink r:id="rId9" w:history="1">
        <w:r w:rsidRPr="00DD6FFC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pl-PL"/>
          </w:rPr>
          <w:t>https://webgate.ec.europa.eu/tentec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AB4EFD" w:rsidRDefault="00AB4EFD" w:rsidP="00AB4E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AB4EFD" w:rsidRPr="00AB4EFD" w:rsidRDefault="00AB4EFD" w:rsidP="00AB4EFD">
      <w:pPr>
        <w:rPr>
          <w:rFonts w:ascii="Times New Roman" w:eastAsia="Arial" w:hAnsi="Times New Roman" w:cs="Times New Roman"/>
          <w:color w:val="0F243E"/>
          <w:sz w:val="24"/>
          <w:szCs w:val="24"/>
        </w:rPr>
      </w:pPr>
      <w:r w:rsidRPr="00AB4EFD">
        <w:rPr>
          <w:rFonts w:ascii="Times New Roman" w:eastAsia="Calibri" w:hAnsi="Times New Roman" w:cs="Times New Roman"/>
          <w:sz w:val="24"/>
          <w:szCs w:val="24"/>
        </w:rPr>
        <w:t>Попълването на Годишния доклад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AB4EFD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F243E"/>
          <w:sz w:val="24"/>
          <w:szCs w:val="24"/>
        </w:rPr>
        <w:t>в</w:t>
      </w:r>
      <w:r w:rsidRPr="00AB4EFD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сички актуализации, разяснения и допълнения  във връзка със съдържанието и допълненията към Годишния доклад трябва да се извършват съгласно Указанията </w:t>
      </w:r>
      <w:r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и ръководството </w:t>
      </w:r>
      <w:r w:rsidRPr="00AB4EFD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за изготвяне на </w:t>
      </w:r>
      <w:r>
        <w:rPr>
          <w:rFonts w:ascii="Times New Roman" w:eastAsia="Arial" w:hAnsi="Times New Roman" w:cs="Times New Roman"/>
          <w:color w:val="0F243E"/>
          <w:sz w:val="24"/>
          <w:szCs w:val="24"/>
        </w:rPr>
        <w:t>Годишните доклади</w:t>
      </w:r>
      <w:r w:rsidRPr="00AB4EFD">
        <w:rPr>
          <w:rFonts w:ascii="Times New Roman" w:eastAsia="Arial" w:hAnsi="Times New Roman" w:cs="Times New Roman"/>
          <w:color w:val="0F243E"/>
          <w:sz w:val="24"/>
          <w:szCs w:val="24"/>
        </w:rPr>
        <w:t xml:space="preserve"> публикувани на следния интернет адрес</w:t>
      </w:r>
      <w:r>
        <w:rPr>
          <w:rFonts w:ascii="Times New Roman" w:eastAsia="Arial" w:hAnsi="Times New Roman" w:cs="Times New Roman"/>
          <w:color w:val="0F243E"/>
          <w:sz w:val="24"/>
          <w:szCs w:val="24"/>
        </w:rPr>
        <w:t>и</w:t>
      </w:r>
      <w:r w:rsidRPr="00AB4EFD">
        <w:rPr>
          <w:rFonts w:ascii="Times New Roman" w:eastAsia="Arial" w:hAnsi="Times New Roman" w:cs="Times New Roman"/>
          <w:color w:val="0F243E"/>
          <w:sz w:val="24"/>
          <w:szCs w:val="24"/>
        </w:rPr>
        <w:t>:</w:t>
      </w:r>
    </w:p>
    <w:p w:rsidR="00AB4EFD" w:rsidRDefault="00710DC6" w:rsidP="00AB4EFD">
      <w:pPr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AB4EFD" w:rsidRPr="00A76EC0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https://ec.europa.eu/inea/sites/inea/files/2_asr20xx_en_final_and_guide.pdf</w:t>
        </w:r>
      </w:hyperlink>
      <w:r w:rsidR="00AB4E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AB4EFD" w:rsidRPr="00AB4E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B4EFD" w:rsidRPr="00AB4EFD" w:rsidRDefault="00710DC6" w:rsidP="00AB4EFD">
      <w:pPr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="00AB4EFD" w:rsidRPr="00A76EC0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https://ec.europa.eu/inea/sites/inea/files/1_tentec-asr-module-operational-manual_28032018.pdf</w:t>
        </w:r>
      </w:hyperlink>
      <w:r w:rsidR="00AB4E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05653" w:rsidRPr="00607461" w:rsidRDefault="00F05653" w:rsidP="00607461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5653" w:rsidRPr="00607461" w:rsidRDefault="00F05653" w:rsidP="00F05653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6074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4B39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СРОКОВЕ И ОТГОВОРНОСТИ ЗА ПРЕДСТАВЯНЕ НА ГД </w:t>
      </w:r>
    </w:p>
    <w:p w:rsidR="00607461" w:rsidRPr="00607461" w:rsidRDefault="00607461" w:rsidP="00607461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B39AA" w:rsidRPr="00960807" w:rsidRDefault="004B39AA" w:rsidP="00960807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>Предварителния</w:t>
      </w:r>
      <w:r w:rsidR="004910D6"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>т</w:t>
      </w:r>
      <w:r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0509"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>ГД се изготвя до 10</w:t>
      </w:r>
      <w:r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февруари от 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ръководител </w:t>
      </w:r>
      <w:r w:rsidRPr="00960807">
        <w:rPr>
          <w:rFonts w:ascii="Times New Roman" w:eastAsia="Times New Roman" w:hAnsi="Times New Roman" w:cs="Times New Roman"/>
          <w:sz w:val="24"/>
          <w:szCs w:val="24"/>
          <w:lang w:eastAsia="pl-PL"/>
        </w:rPr>
        <w:t>ЕУП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като проверките 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стартират след изготвянето на ГД, 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извършват 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се 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>съгласно контролен лист „</w:t>
      </w:r>
      <w:r w:rsidR="00B83854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>Годиш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>е</w:t>
      </w:r>
      <w:r w:rsidR="00B83854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>н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83854" w:rsidRPr="00846A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Доклад 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>за състояние на действието</w:t>
      </w:r>
      <w:r w:rsidR="00A90AA7">
        <w:rPr>
          <w:rFonts w:ascii="Times New Roman" w:eastAsia="Times New Roman" w:hAnsi="Times New Roman" w:cs="Times New Roman"/>
          <w:sz w:val="24"/>
          <w:szCs w:val="24"/>
          <w:lang w:eastAsia="pl-PL"/>
        </w:rPr>
        <w:t>“ и приключват след получаване на сертификата от КО.</w:t>
      </w:r>
      <w:r w:rsidR="002314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E0509" w:rsidRPr="00CE0509" w:rsidRDefault="00CE0509" w:rsidP="000E13D3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В срок до 1 март ГД се представя </w:t>
      </w:r>
      <w:r w:rsidR="002314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на английски и 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на български език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с официално писмо до Контролния орган за преглед и издаване на Декларация от страната членка на ЕС</w:t>
      </w:r>
      <w:r w:rsid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(Certification of the Member State)</w:t>
      </w:r>
      <w:r w:rsidR="00B838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E0509" w:rsidRDefault="00CE0509" w:rsidP="000E13D3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Контролния орган връща ГД с препоръки и коментари и/или Декларация от страната членка в срок до 15 март</w:t>
      </w:r>
    </w:p>
    <w:p w:rsidR="004B39AA" w:rsidRPr="004B39AA" w:rsidRDefault="00CE0509" w:rsidP="000E13D3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ЕУП отразяват коментарите на Контролния орган в диалогов режим и </w:t>
      </w:r>
      <w:r w:rsidR="00AB4EFD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комплектоват ГД за изпращане до ИНЕА в срок до 25 март</w:t>
      </w:r>
      <w:r w:rsidR="0023145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07461" w:rsidRPr="004B39A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AE68DA" w:rsidRDefault="00AE68DA" w:rsidP="00607461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F6A59" w:rsidRDefault="00CF6A59" w:rsidP="00CF6A5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6A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РАЗПРЕДЕЛЕНИЕ НА ЗАДЪЛЖЕНИЯТА ПО РАЗДЕЛИ НА ГОДИШНИЯ ДОКЛАД</w:t>
      </w:r>
    </w:p>
    <w:p w:rsidR="00CF6A59" w:rsidRDefault="00CF6A59" w:rsidP="000E13D3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ЕУП е отговор</w:t>
      </w:r>
      <w:r w:rsid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н за цялостното изготвяне и </w:t>
      </w:r>
      <w:r w:rsidR="00AB4EFD">
        <w:rPr>
          <w:rFonts w:ascii="Times New Roman" w:eastAsia="Times New Roman" w:hAnsi="Times New Roman" w:cs="Times New Roman"/>
          <w:sz w:val="24"/>
          <w:szCs w:val="24"/>
          <w:lang w:eastAsia="pl-PL"/>
        </w:rPr>
        <w:t>о</w:t>
      </w:r>
      <w:r w:rsidR="001A33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комплектоване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на ГД, както и за спазване на сроковете по неговото изготвяне и представяне на съответните институции</w:t>
      </w:r>
      <w:r w:rsidR="000E13D3">
        <w:rPr>
          <w:rFonts w:ascii="Times New Roman" w:eastAsia="Times New Roman" w:hAnsi="Times New Roman" w:cs="Times New Roman"/>
          <w:sz w:val="24"/>
          <w:szCs w:val="24"/>
          <w:lang w:eastAsia="pl-PL"/>
        </w:rPr>
        <w:t>. ЕУП има отговорността за електронното подаване на ГД, както и качването на всички приложения</w:t>
      </w:r>
      <w:r w:rsidR="001A334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83854" w:rsidRDefault="00B83854" w:rsidP="000E13D3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Дирекциите от АПИ, имащи отношение към изпълнение, контролиране, </w:t>
      </w:r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финансово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отчитане, </w:t>
      </w:r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мониторинг на проекти, </w:t>
      </w:r>
      <w:proofErr w:type="spellStart"/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>съфинансирани</w:t>
      </w:r>
      <w:proofErr w:type="spellEnd"/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от Европейската комисия, съдействат на ЕУП при необходимост. </w:t>
      </w:r>
    </w:p>
    <w:p w:rsidR="004910D6" w:rsidRDefault="00411A5F" w:rsidP="002417FD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Съдействието се осъществява чрез неформална кореспонденция по електронна поща между</w:t>
      </w:r>
      <w:r w:rsidR="002417FD"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координатора </w:t>
      </w:r>
      <w:r w:rsidR="002417FD"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от Е</w:t>
      </w: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УП до </w:t>
      </w:r>
      <w:r w:rsidR="00231454">
        <w:rPr>
          <w:rFonts w:ascii="Times New Roman" w:eastAsia="Times New Roman" w:hAnsi="Times New Roman" w:cs="Times New Roman"/>
          <w:sz w:val="24"/>
          <w:szCs w:val="24"/>
          <w:lang w:eastAsia="pl-PL"/>
        </w:rPr>
        <w:t>директорите/</w:t>
      </w:r>
      <w:r w:rsid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началниц</w:t>
      </w: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ите на отдели</w:t>
      </w:r>
      <w:r w:rsidR="00231454">
        <w:rPr>
          <w:rFonts w:ascii="Times New Roman" w:eastAsia="Times New Roman" w:hAnsi="Times New Roman" w:cs="Times New Roman"/>
          <w:sz w:val="24"/>
          <w:szCs w:val="24"/>
          <w:lang w:eastAsia="pl-PL"/>
        </w:rPr>
        <w:t>/експертите</w:t>
      </w: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в </w:t>
      </w:r>
      <w:r w:rsidR="004D1CA9">
        <w:rPr>
          <w:rFonts w:ascii="Times New Roman" w:eastAsia="Times New Roman" w:hAnsi="Times New Roman" w:cs="Times New Roman"/>
          <w:sz w:val="24"/>
          <w:szCs w:val="24"/>
          <w:lang w:eastAsia="pl-PL"/>
        </w:rPr>
        <w:t>АПИ</w:t>
      </w: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, като задължител</w:t>
      </w:r>
      <w:r w:rsidR="002417FD"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но се копират Ръководителя на Е</w:t>
      </w:r>
      <w:r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УП и Директор </w:t>
      </w:r>
      <w:r w:rsidR="002417FD" w:rsidRPr="002417FD">
        <w:rPr>
          <w:rFonts w:ascii="Times New Roman" w:eastAsia="Times New Roman" w:hAnsi="Times New Roman" w:cs="Times New Roman"/>
          <w:sz w:val="24"/>
          <w:szCs w:val="24"/>
          <w:lang w:eastAsia="pl-PL"/>
        </w:rPr>
        <w:t>ИПОПТТИ</w:t>
      </w:r>
    </w:p>
    <w:p w:rsidR="002417FD" w:rsidRPr="002417FD" w:rsidRDefault="002417FD" w:rsidP="002417FD">
      <w:pPr>
        <w:pStyle w:val="ListParagraph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E68DA" w:rsidRDefault="00CF6A59" w:rsidP="00CF6A5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6A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411A5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МЕТОДИКА ЗА ОПРЕДЕЛЯНЕ НА НАПРЕДЪКА</w:t>
      </w:r>
    </w:p>
    <w:p w:rsidR="00411A5F" w:rsidRDefault="00411A5F" w:rsidP="00411A5F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11A5F" w:rsidRDefault="00411A5F" w:rsidP="0016770D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9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Финансовият напредък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се определя по Дейности и за проекта като цяло, както следва:</w:t>
      </w:r>
    </w:p>
    <w:p w:rsidR="00940939" w:rsidRDefault="00411A5F" w:rsidP="0016770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За </w:t>
      </w:r>
      <w:r w:rsidR="006A59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отделни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дейности</w:t>
      </w:r>
      <w:r w:rsidR="0064737D">
        <w:rPr>
          <w:rFonts w:ascii="Times New Roman" w:eastAsia="Times New Roman" w:hAnsi="Times New Roman" w:cs="Times New Roman"/>
          <w:sz w:val="24"/>
          <w:szCs w:val="24"/>
          <w:lang w:eastAsia="pl-PL"/>
        </w:rPr>
        <w:t>, изплатените</w:t>
      </w:r>
      <w:r w:rsidR="009409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кумулативни разходи</w:t>
      </w:r>
      <w:r w:rsidR="006473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през отчетния период се разделят на планираните </w:t>
      </w:r>
      <w:r w:rsidR="006A59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общи разходи по </w:t>
      </w:r>
      <w:r w:rsidR="006473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съответната дейност в Договорното споразумение. </w:t>
      </w:r>
    </w:p>
    <w:p w:rsidR="00411A5F" w:rsidRDefault="00940939" w:rsidP="0016770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За проекта като цяло изплатените кумулативни суми </w:t>
      </w:r>
      <w:r w:rsidR="006473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през отчетния период се разделят на планираните за </w:t>
      </w:r>
      <w:r w:rsidR="006A59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проекта като цяло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в Договорното споразумение</w:t>
      </w:r>
    </w:p>
    <w:p w:rsidR="00940939" w:rsidRDefault="00940939" w:rsidP="0016770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След подписване на договорите за услуги/доставки/строителство отчетените кумулативни суми през отчетния период се отнасят към коригираните стойности по съответната дейност или проекта като цяло, а не към стойностите в Договорното споразумение, като в ГД изрично се отбелязва, че финансовия напредък е отчетен към реалните стойности</w:t>
      </w:r>
    </w:p>
    <w:p w:rsidR="004910D6" w:rsidRDefault="004910D6" w:rsidP="004910D6">
      <w:pPr>
        <w:pStyle w:val="ListParagraph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1A5F" w:rsidRDefault="00940939" w:rsidP="0016770D">
      <w:pPr>
        <w:pStyle w:val="ListParagraph"/>
        <w:numPr>
          <w:ilvl w:val="1"/>
          <w:numId w:val="8"/>
        </w:numPr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9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Физическият напредък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на дейностите и проекта се отчитат  както следва:</w:t>
      </w:r>
    </w:p>
    <w:p w:rsidR="00940939" w:rsidRDefault="00940939" w:rsidP="00940939">
      <w:pPr>
        <w:pStyle w:val="ListParagraph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D1CA9" w:rsidRDefault="004D1CA9" w:rsidP="0016770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За дейност №1 „Придобиване на земя и отчуждаване“: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площта на отчуждените терени се разделя на общата площ, необходима за отчуждаване. Полученото се превръща в процент;</w:t>
      </w:r>
    </w:p>
    <w:p w:rsidR="004D1CA9" w:rsidRPr="00231454" w:rsidRDefault="004D1CA9" w:rsidP="0016770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За дейност №2 „Технически проект и получаване на разрешение за строеж“: </w:t>
      </w:r>
    </w:p>
    <w:p w:rsidR="004D1CA9" w:rsidRPr="00231454" w:rsidRDefault="004D1CA9" w:rsidP="004D1CA9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Следният процент за постигане на определена етапна цел (M), включена в Дейността, е посочен по-долу, като сумата е с натрупване:</w:t>
      </w:r>
    </w:p>
    <w:p w:rsidR="004D1CA9" w:rsidRPr="00231454" w:rsidRDefault="004D1CA9" w:rsidP="004D1CA9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M.2 Стартиране на тръжната процедура за избор на проектант, строител и изпълнител за информационните и комуникационните дейности – 5%</w:t>
      </w:r>
    </w:p>
    <w:p w:rsidR="004D1CA9" w:rsidRPr="00231454" w:rsidRDefault="004D1CA9" w:rsidP="004D1CA9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lastRenderedPageBreak/>
        <w:t>M.3 Възлагане на процедурата за обществена поръчка за избор на проектант, строител и изпълнител за информационните и комуникационните дейности – 10%</w:t>
      </w:r>
    </w:p>
    <w:p w:rsidR="004D1CA9" w:rsidRDefault="004D1CA9" w:rsidP="004D1CA9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M.4 Технически проект, изготвен и одобрен от АПИ – 80%</w:t>
      </w:r>
    </w:p>
    <w:p w:rsidR="008061D5" w:rsidRDefault="008061D5" w:rsidP="004D1CA9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676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M.5 Технически проект, одобрен от Министерството на регионалното развитие и благоустройството, и издадено разрешение за строеж – 100%</w:t>
      </w:r>
    </w:p>
    <w:p w:rsidR="004D1CA9" w:rsidRPr="00231454" w:rsidRDefault="004D1CA9" w:rsidP="0023145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4D1CA9" w:rsidRPr="00231454" w:rsidRDefault="004D1CA9" w:rsidP="0016770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За дейност №3 „Строителство и строителни работи“:</w:t>
      </w:r>
    </w:p>
    <w:p w:rsidR="004D1CA9" w:rsidRPr="00231454" w:rsidRDefault="004D1CA9" w:rsidP="00231454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Следният процент за постигане на определена етапна цел (M), включена в Дейността, е посочен по-долу, като сумата е с натрупване:</w:t>
      </w:r>
    </w:p>
    <w:p w:rsidR="004D1CA9" w:rsidRPr="00231454" w:rsidRDefault="004D1CA9" w:rsidP="00231454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M.2 Стартиране на тръжната процедура за избор на проектант, строител и изпълнител за информационните и комуникационните дейности – 3%</w:t>
      </w:r>
    </w:p>
    <w:p w:rsidR="004D1CA9" w:rsidRPr="00231454" w:rsidRDefault="004D1CA9" w:rsidP="00231454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M.3 Възлагане на процедурата за обществена поръчка за избор на проектант, строител и изпълнител за информационните и комуникационните дейности – 10%</w:t>
      </w:r>
    </w:p>
    <w:p w:rsidR="004D1CA9" w:rsidRPr="00231454" w:rsidRDefault="004D1CA9" w:rsidP="00231454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M.6 Стартиране на строителните работи – 20%</w:t>
      </w:r>
    </w:p>
    <w:p w:rsidR="004D1CA9" w:rsidRDefault="004D1CA9" w:rsidP="00231454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M.7 Междинен доклад относно напредъка на строителните работи, изготвен от Изпълнителя – 50%</w:t>
      </w:r>
    </w:p>
    <w:p w:rsidR="008061D5" w:rsidRPr="00033108" w:rsidRDefault="008061D5" w:rsidP="008061D5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1B7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M.8 Завършване на строителните работи (1 мост, 1 рампа, 4 надлеза, 4 подлеза и реализирани пътни принадлежности и реконструирани инженерни съоръжения) – 100%</w:t>
      </w:r>
    </w:p>
    <w:p w:rsidR="008061D5" w:rsidRPr="00231454" w:rsidRDefault="008061D5" w:rsidP="00231454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033108" w:rsidRDefault="00033108" w:rsidP="0016770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2A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За дейност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Pr="00D02A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Pr="002314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Надзор на фазите на проектирането и строителството и проверки за пътна безопасност“:</w:t>
      </w:r>
    </w:p>
    <w:p w:rsidR="00033108" w:rsidRPr="00231454" w:rsidRDefault="00033108" w:rsidP="00033108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Следният процент за постигане на определена етапна цел (M), включена в Дейността, е посочен по-долу, като сумата е с натрупване:</w:t>
      </w:r>
    </w:p>
    <w:p w:rsidR="00033108" w:rsidRPr="00231454" w:rsidRDefault="00033108" w:rsidP="00033108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M.9 Стартиране на тръжна процедура за избор на консултант за технически надзор на проектирането и строителните работи – 3%</w:t>
      </w:r>
    </w:p>
    <w:p w:rsidR="00033108" w:rsidRPr="00231454" w:rsidRDefault="00033108" w:rsidP="00033108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M.10 Завършване на тръжната процедура за избор на орган за надзор – 5%</w:t>
      </w:r>
    </w:p>
    <w:p w:rsidR="00033108" w:rsidRPr="00231454" w:rsidRDefault="00033108" w:rsidP="00033108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M.14 Стартиране на процедурата и възлагане на обществена поръчка за проверки за пътна безопасност – 8%</w:t>
      </w:r>
    </w:p>
    <w:p w:rsidR="00033108" w:rsidRPr="00231454" w:rsidRDefault="00033108" w:rsidP="00033108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M.15 Одит по пътна безопасност във фазата на техническото проектиране – 10%</w:t>
      </w:r>
    </w:p>
    <w:p w:rsidR="00033108" w:rsidRPr="00231454" w:rsidRDefault="00033108" w:rsidP="00033108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M.11 Комплексен Доклад за съответс</w:t>
      </w:r>
      <w:r w:rsidR="00657BE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т</w:t>
      </w: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вие – 12%</w:t>
      </w:r>
    </w:p>
    <w:p w:rsidR="00033108" w:rsidRPr="00231454" w:rsidRDefault="00033108" w:rsidP="00033108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M.12 Междинен доклад относно напредъка на надзора върху строителните работи, изготвен от Консултанта – 50%</w:t>
      </w:r>
    </w:p>
    <w:p w:rsidR="00033108" w:rsidRPr="00231454" w:rsidRDefault="00033108" w:rsidP="00033108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M.16 Одит по пътна безопасност преди експлоатационната фаза – 92%</w:t>
      </w:r>
    </w:p>
    <w:p w:rsidR="00033108" w:rsidRDefault="00033108" w:rsidP="00033108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M.13 Въвеждане в експлоатация на построения път – 95%</w:t>
      </w:r>
    </w:p>
    <w:p w:rsidR="008061D5" w:rsidRPr="00E21409" w:rsidRDefault="008061D5" w:rsidP="00231454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E2140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M.17 Одит по за пътна безопасност по време на експлоатационната фаза – 100%</w:t>
      </w:r>
    </w:p>
    <w:p w:rsidR="008061D5" w:rsidRPr="00231454" w:rsidRDefault="008061D5" w:rsidP="00033108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033108" w:rsidRDefault="00033108" w:rsidP="0016770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310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За дейност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 „</w:t>
      </w:r>
      <w:r w:rsidRPr="0023145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Управление на проекта и информация и комуникация“:</w:t>
      </w:r>
    </w:p>
    <w:p w:rsidR="00033108" w:rsidRPr="00231454" w:rsidRDefault="00033108" w:rsidP="008061D5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Следният процент за постигане на определена етапна цел (M), включена в Дейността, е посочен по-долу, като сумата е с натрупване:</w:t>
      </w:r>
    </w:p>
    <w:p w:rsidR="00033108" w:rsidRPr="00231454" w:rsidRDefault="00033108" w:rsidP="008061D5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M.2 Стартиране на тръжната процедура за избор на проектант, строител и изпълнител за информационните и комуникационните дейности – 3%</w:t>
      </w:r>
    </w:p>
    <w:p w:rsidR="00033108" w:rsidRPr="00231454" w:rsidRDefault="00033108" w:rsidP="008061D5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M.3 Възлагане на процедурата за обществена поръчка за избор на проектант, строител и изпълнител за информационните и комуникационните дейности – 5%</w:t>
      </w:r>
    </w:p>
    <w:p w:rsidR="00033108" w:rsidRPr="00231454" w:rsidRDefault="00033108" w:rsidP="008061D5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M.18 Стартиране и възлагане на процедура за обществена поръчка за лизинг на 2 превозни средства – 20%</w:t>
      </w:r>
    </w:p>
    <w:p w:rsidR="00033108" w:rsidRPr="00231454" w:rsidRDefault="00033108" w:rsidP="008061D5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M.19 Стартиране и възлагане на процедура за обществена поръчка за одит върху разходите по проекта – 30%</w:t>
      </w:r>
    </w:p>
    <w:p w:rsidR="00033108" w:rsidRPr="00231454" w:rsidRDefault="00033108" w:rsidP="008061D5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M.20 Организиране на официална церемония "Първа копка"  – 40%</w:t>
      </w:r>
    </w:p>
    <w:p w:rsidR="00033108" w:rsidRDefault="00033108" w:rsidP="008061D5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31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M.21 Междинен доклад относно напредъка на управлението по проекта, изготвен от ръководителя на ЕУП – 70%</w:t>
      </w:r>
    </w:p>
    <w:p w:rsidR="008061D5" w:rsidRPr="006E4990" w:rsidRDefault="008061D5" w:rsidP="0023145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E49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M.22 Церемония за официалното откриване на построения път – 100%</w:t>
      </w:r>
    </w:p>
    <w:p w:rsidR="008061D5" w:rsidRPr="00231454" w:rsidRDefault="008061D5" w:rsidP="008061D5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411A5F" w:rsidRDefault="00411A5F" w:rsidP="00411A5F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11A5F" w:rsidRDefault="00411A5F" w:rsidP="00411A5F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11A5F" w:rsidRDefault="004910D6" w:rsidP="00CF6A5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ПРИЛОЖЕНИЯ КЪМ ДОКЛАДА</w:t>
      </w:r>
    </w:p>
    <w:p w:rsidR="002417FD" w:rsidRDefault="002417FD" w:rsidP="002417FD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E13D3" w:rsidRDefault="000E13D3" w:rsidP="00AC276C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13D3">
        <w:rPr>
          <w:rFonts w:ascii="Times New Roman" w:eastAsia="Times New Roman" w:hAnsi="Times New Roman" w:cs="Times New Roman"/>
          <w:sz w:val="24"/>
          <w:szCs w:val="24"/>
          <w:lang w:eastAsia="pl-PL"/>
        </w:rPr>
        <w:t>Основния</w:t>
      </w:r>
      <w:r w:rsidR="001B230B">
        <w:rPr>
          <w:rFonts w:ascii="Times New Roman" w:eastAsia="Times New Roman" w:hAnsi="Times New Roman" w:cs="Times New Roman"/>
          <w:sz w:val="24"/>
          <w:szCs w:val="24"/>
          <w:lang w:eastAsia="pl-PL"/>
        </w:rPr>
        <w:t>т</w:t>
      </w:r>
      <w:r w:rsidRPr="000E13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доклад се качва електронно, </w:t>
      </w:r>
      <w:r w:rsidR="00AC276C">
        <w:rPr>
          <w:rFonts w:ascii="Times New Roman" w:eastAsia="Times New Roman" w:hAnsi="Times New Roman" w:cs="Times New Roman"/>
          <w:sz w:val="24"/>
          <w:szCs w:val="24"/>
          <w:lang w:eastAsia="pl-PL"/>
        </w:rPr>
        <w:t>заедно с необходимите приложения към него.</w:t>
      </w:r>
    </w:p>
    <w:p w:rsidR="00AE68DA" w:rsidRDefault="00AE68DA" w:rsidP="00AE68DA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10ACF" w:rsidRDefault="00210ACF"/>
    <w:p w:rsidR="00210ACF" w:rsidRDefault="00210ACF" w:rsidP="009B24D1"/>
    <w:sectPr w:rsidR="00210ACF" w:rsidSect="00901BA7">
      <w:headerReference w:type="default" r:id="rId12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DC6" w:rsidRDefault="00710DC6" w:rsidP="00901BA7">
      <w:pPr>
        <w:spacing w:after="0" w:line="240" w:lineRule="auto"/>
      </w:pPr>
      <w:r>
        <w:separator/>
      </w:r>
    </w:p>
  </w:endnote>
  <w:endnote w:type="continuationSeparator" w:id="0">
    <w:p w:rsidR="00710DC6" w:rsidRDefault="00710DC6" w:rsidP="0090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DC6" w:rsidRDefault="00710DC6" w:rsidP="00901BA7">
      <w:pPr>
        <w:spacing w:after="0" w:line="240" w:lineRule="auto"/>
      </w:pPr>
      <w:r>
        <w:separator/>
      </w:r>
    </w:p>
  </w:footnote>
  <w:footnote w:type="continuationSeparator" w:id="0">
    <w:p w:rsidR="00710DC6" w:rsidRDefault="00710DC6" w:rsidP="00901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901BA7" w:rsidRPr="00901BA7" w:rsidTr="00AC4F90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МСЕ</w:t>
          </w:r>
          <w:r w:rsidR="00846A51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 Б</w:t>
          </w:r>
          <w:r w:rsidR="00607461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-1</w:t>
          </w:r>
        </w:p>
      </w:tc>
    </w:tr>
    <w:tr w:rsidR="00901BA7" w:rsidRPr="00901BA7" w:rsidTr="00AC4F90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846A51" w:rsidP="00657BE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lang w:eastAsia="pl-PL"/>
            </w:rPr>
            <w:t>ИЗГОТВЯНЕ НА ГОДИШЕН</w:t>
          </w:r>
          <w:r w:rsidR="00901BA7" w:rsidRPr="00901BA7">
            <w:rPr>
              <w:rFonts w:ascii="Times New Roman" w:eastAsia="Times New Roman" w:hAnsi="Times New Roman" w:cs="Times New Roman"/>
              <w:b/>
              <w:lang w:eastAsia="pl-PL"/>
            </w:rPr>
            <w:t xml:space="preserve"> ДОКЛАД ЗА </w:t>
          </w:r>
          <w:r w:rsidR="00657BEC">
            <w:rPr>
              <w:rFonts w:ascii="Times New Roman" w:eastAsia="Times New Roman" w:hAnsi="Times New Roman" w:cs="Times New Roman"/>
              <w:b/>
              <w:lang w:eastAsia="pl-PL"/>
            </w:rPr>
            <w:t>СЪСТОЯНИЕ НА ДЕЙСТВИЕТО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901BA7" w:rsidRPr="00901BA7" w:rsidRDefault="00901BA7" w:rsidP="00901BA7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2A2C2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2A2C2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4</w:t>
          </w:r>
          <w:r w:rsidRPr="00901BA7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901BA7" w:rsidRPr="00901BA7" w:rsidTr="00AC4F90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01BA7" w:rsidRDefault="00715BC6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АП</w:t>
          </w:r>
          <w:r w:rsidR="00901BA7"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901BA7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:rsidR="00901BA7" w:rsidRPr="00901BA7" w:rsidRDefault="00901BA7" w:rsidP="00901BA7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901BA7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478A1A51" wp14:editId="182062D4">
                <wp:extent cx="1069975" cy="810895"/>
                <wp:effectExtent l="0" t="0" r="0" b="8255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901BA7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:rsidR="00901BA7" w:rsidRPr="00901BA7" w:rsidRDefault="00901BA7" w:rsidP="00901BA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901BA7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901BA7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ЕВРОПЕЙСКИ ФОНД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ЗА РЕГИОНАЛНО РАЗВИТИЕ</w:t>
          </w:r>
        </w:p>
        <w:p w:rsidR="00901BA7" w:rsidRPr="00901BA7" w:rsidRDefault="00901BA7" w:rsidP="00901BA7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901BA7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:rsidR="00901BA7" w:rsidRPr="00901BA7" w:rsidRDefault="00901BA7" w:rsidP="00901BA7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901BA7">
            <w:rPr>
              <w:rFonts w:ascii="Times New Roman" w:eastAsia="MS Mincho" w:hAnsi="Times New Roman" w:cs="Times New Roman"/>
              <w:noProof/>
              <w:color w:val="0F243E"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1" locked="0" layoutInCell="1" allowOverlap="1" wp14:anchorId="2D7C2AD8" wp14:editId="0F84736B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2" name="Picture 2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2A2C2F" w:rsidP="00715BC6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</w:t>
          </w:r>
          <w:r w:rsidR="00E75315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ри</w:t>
          </w:r>
          <w:r w:rsidR="00901BA7"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 xml:space="preserve"> </w:t>
          </w:r>
          <w:r w:rsidR="00901BA7"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201</w:t>
          </w: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9</w:t>
          </w:r>
        </w:p>
      </w:tc>
    </w:tr>
    <w:tr w:rsidR="00901BA7" w:rsidRPr="00901BA7" w:rsidTr="00AC4F9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901BA7" w:rsidRPr="00901BA7" w:rsidRDefault="00607461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901BA7" w:rsidRPr="00901BA7" w:rsidRDefault="00901BA7" w:rsidP="00901BA7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901BA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="0060746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:rsidR="00901BA7" w:rsidRDefault="00901BA7" w:rsidP="006074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D667C"/>
    <w:multiLevelType w:val="hybridMultilevel"/>
    <w:tmpl w:val="8D0EF2AE"/>
    <w:lvl w:ilvl="0" w:tplc="7D6050F6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5A1348"/>
    <w:multiLevelType w:val="multilevel"/>
    <w:tmpl w:val="5F0A8B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9190D72"/>
    <w:multiLevelType w:val="hybridMultilevel"/>
    <w:tmpl w:val="C16035F0"/>
    <w:lvl w:ilvl="0" w:tplc="E6863DDE">
      <w:start w:val="4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1A2B1A0E"/>
    <w:multiLevelType w:val="multilevel"/>
    <w:tmpl w:val="70060C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D805D5"/>
    <w:multiLevelType w:val="multilevel"/>
    <w:tmpl w:val="FCF62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1FCE5F24"/>
    <w:multiLevelType w:val="hybridMultilevel"/>
    <w:tmpl w:val="42F4DD62"/>
    <w:lvl w:ilvl="0" w:tplc="0402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F3732"/>
    <w:multiLevelType w:val="hybridMultilevel"/>
    <w:tmpl w:val="7444C198"/>
    <w:lvl w:ilvl="0" w:tplc="04020017">
      <w:start w:val="1"/>
      <w:numFmt w:val="lowerLetter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DE8491F"/>
    <w:multiLevelType w:val="hybridMultilevel"/>
    <w:tmpl w:val="9F608E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06BA1"/>
    <w:multiLevelType w:val="hybridMultilevel"/>
    <w:tmpl w:val="2D880B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F5358C"/>
    <w:multiLevelType w:val="hybridMultilevel"/>
    <w:tmpl w:val="E72043EC"/>
    <w:lvl w:ilvl="0" w:tplc="04020017">
      <w:start w:val="1"/>
      <w:numFmt w:val="lowerLetter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FDE5491"/>
    <w:multiLevelType w:val="hybridMultilevel"/>
    <w:tmpl w:val="B7386E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320E6E"/>
    <w:multiLevelType w:val="multilevel"/>
    <w:tmpl w:val="6A0CE48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F093F32"/>
    <w:multiLevelType w:val="multilevel"/>
    <w:tmpl w:val="3BBC0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1"/>
  </w:num>
  <w:num w:numId="5">
    <w:abstractNumId w:val="12"/>
  </w:num>
  <w:num w:numId="6">
    <w:abstractNumId w:val="4"/>
  </w:num>
  <w:num w:numId="7">
    <w:abstractNumId w:val="10"/>
  </w:num>
  <w:num w:numId="8">
    <w:abstractNumId w:val="3"/>
  </w:num>
  <w:num w:numId="9">
    <w:abstractNumId w:val="6"/>
  </w:num>
  <w:num w:numId="10">
    <w:abstractNumId w:val="0"/>
  </w:num>
  <w:num w:numId="11">
    <w:abstractNumId w:val="2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A7"/>
    <w:rsid w:val="0003044E"/>
    <w:rsid w:val="00033108"/>
    <w:rsid w:val="000B4301"/>
    <w:rsid w:val="000E13D3"/>
    <w:rsid w:val="00165DF2"/>
    <w:rsid w:val="0016770D"/>
    <w:rsid w:val="001A334C"/>
    <w:rsid w:val="001B230B"/>
    <w:rsid w:val="00210ACF"/>
    <w:rsid w:val="00227DE5"/>
    <w:rsid w:val="0023034A"/>
    <w:rsid w:val="00231454"/>
    <w:rsid w:val="002417FD"/>
    <w:rsid w:val="00242D57"/>
    <w:rsid w:val="002706E1"/>
    <w:rsid w:val="002A2C2F"/>
    <w:rsid w:val="002C2F48"/>
    <w:rsid w:val="002C6F56"/>
    <w:rsid w:val="0039105D"/>
    <w:rsid w:val="00395ACD"/>
    <w:rsid w:val="003E7736"/>
    <w:rsid w:val="00411A5F"/>
    <w:rsid w:val="0047004B"/>
    <w:rsid w:val="004910D6"/>
    <w:rsid w:val="004A630D"/>
    <w:rsid w:val="004B39AA"/>
    <w:rsid w:val="004D1CA9"/>
    <w:rsid w:val="00515A3B"/>
    <w:rsid w:val="00563200"/>
    <w:rsid w:val="00591BBB"/>
    <w:rsid w:val="005A4141"/>
    <w:rsid w:val="005D503F"/>
    <w:rsid w:val="005E60B1"/>
    <w:rsid w:val="005F3D26"/>
    <w:rsid w:val="005F7BED"/>
    <w:rsid w:val="00607461"/>
    <w:rsid w:val="0061204B"/>
    <w:rsid w:val="0064737D"/>
    <w:rsid w:val="00657BEC"/>
    <w:rsid w:val="006A597A"/>
    <w:rsid w:val="00710DC6"/>
    <w:rsid w:val="00715BC6"/>
    <w:rsid w:val="00723333"/>
    <w:rsid w:val="00732AC3"/>
    <w:rsid w:val="00732D87"/>
    <w:rsid w:val="0079009A"/>
    <w:rsid w:val="007C3C5A"/>
    <w:rsid w:val="008061D5"/>
    <w:rsid w:val="008235BA"/>
    <w:rsid w:val="00846A51"/>
    <w:rsid w:val="00901BA7"/>
    <w:rsid w:val="00927715"/>
    <w:rsid w:val="00936687"/>
    <w:rsid w:val="00940939"/>
    <w:rsid w:val="00960807"/>
    <w:rsid w:val="009B24D1"/>
    <w:rsid w:val="009B5A79"/>
    <w:rsid w:val="009B7DDC"/>
    <w:rsid w:val="009C6B82"/>
    <w:rsid w:val="00A346C1"/>
    <w:rsid w:val="00A67CC8"/>
    <w:rsid w:val="00A90AA7"/>
    <w:rsid w:val="00AB3860"/>
    <w:rsid w:val="00AB4EFD"/>
    <w:rsid w:val="00AC276C"/>
    <w:rsid w:val="00AC4F90"/>
    <w:rsid w:val="00AE68DA"/>
    <w:rsid w:val="00B83854"/>
    <w:rsid w:val="00BA7D10"/>
    <w:rsid w:val="00C177AC"/>
    <w:rsid w:val="00C24942"/>
    <w:rsid w:val="00CD2987"/>
    <w:rsid w:val="00CD74D2"/>
    <w:rsid w:val="00CE0509"/>
    <w:rsid w:val="00CF6A59"/>
    <w:rsid w:val="00D73A26"/>
    <w:rsid w:val="00D804E9"/>
    <w:rsid w:val="00D805DE"/>
    <w:rsid w:val="00DE145A"/>
    <w:rsid w:val="00DE7CF5"/>
    <w:rsid w:val="00E75315"/>
    <w:rsid w:val="00E95D1D"/>
    <w:rsid w:val="00F05653"/>
    <w:rsid w:val="00F64FAD"/>
    <w:rsid w:val="00FC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7CC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B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7"/>
  </w:style>
  <w:style w:type="paragraph" w:styleId="Footer">
    <w:name w:val="footer"/>
    <w:basedOn w:val="Normal"/>
    <w:link w:val="FooterChar"/>
    <w:uiPriority w:val="99"/>
    <w:unhideWhenUsed/>
    <w:rsid w:val="0090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7"/>
  </w:style>
  <w:style w:type="paragraph" w:customStyle="1" w:styleId="CharCharChar1CharCharChar">
    <w:name w:val="Char Char Char1 Char Char Char"/>
    <w:basedOn w:val="Normal"/>
    <w:rsid w:val="00901B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074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7CC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B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gate.ec.europa.eu/tentec/grant/asreport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c.europa.eu/inea/sites/inea/files/1_tentec-asr-module-operational-manual_28032018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c.europa.eu/inea/sites/inea/files/2_asr20xx_en_final_and_guid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bgate.ec.europa.eu/tente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Tchakarova</dc:creator>
  <cp:lastModifiedBy>Цветанка Стефанова</cp:lastModifiedBy>
  <cp:revision>12</cp:revision>
  <dcterms:created xsi:type="dcterms:W3CDTF">2018-04-23T10:37:00Z</dcterms:created>
  <dcterms:modified xsi:type="dcterms:W3CDTF">2019-01-18T15:27:00Z</dcterms:modified>
</cp:coreProperties>
</file>